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Pricing Amendment – Draft v2 (Redline)</w:t>
      </w:r>
    </w:p>
    <w:p>
      <w:pPr>
        <w:pStyle w:val="Heading2"/>
      </w:pPr>
      <w:r>
        <w:t>Section 1. Pricing Adjustment</w:t>
      </w:r>
    </w:p>
    <w:p>
      <w:r>
        <w:t>Effective June 15, 2022, the Unit Prices shall be adjusted as set forth in Exhibit A.</w:t>
      </w:r>
    </w:p>
    <w:p>
      <w:pPr>
        <w:pStyle w:val="Heading2"/>
      </w:pPr>
      <w:r>
        <w:t>Section 2. Review (Revised)</w:t>
      </w:r>
    </w:p>
    <w:p>
      <w:r>
        <w:t>The Parties agree to engage in good-faith discussions regarding pricing upon material changes in market conditions.</w:t>
      </w:r>
    </w:p>
    <w:p>
      <w:r>
        <w:t>Comment (Legal): Remove mandatory reversion language; retain flexibility and avoid forced reset.</w:t>
      </w:r>
    </w:p>
    <w:p>
      <w:pPr>
        <w:pStyle w:val="Heading2"/>
      </w:pPr>
      <w:r>
        <w:t>Section 3. No Other Modifications</w:t>
      </w:r>
    </w:p>
    <w:p>
      <w:r>
        <w:t>Except as expressly amended herein, all other terms remain in full force and effect.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